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9058" w14:textId="77777777" w:rsidR="00F327EC" w:rsidRDefault="00F327EC" w:rsidP="00F327EC"/>
    <w:p w14:paraId="2C884C3F" w14:textId="77777777" w:rsidR="00F327EC" w:rsidRDefault="00EE47B3" w:rsidP="00F327EC">
      <w:pPr>
        <w:jc w:val="center"/>
      </w:pPr>
      <w:r>
        <w:rPr>
          <w:rFonts w:ascii="Muli" w:hAnsi="Muli"/>
          <w:caps/>
          <w:noProof/>
          <w:color w:val="CF489A"/>
          <w:kern w:val="36"/>
          <w:sz w:val="48"/>
          <w:szCs w:val="48"/>
          <w:lang w:eastAsia="en-GB"/>
        </w:rPr>
        <w:drawing>
          <wp:inline distT="0" distB="0" distL="0" distR="0" wp14:anchorId="3F5A382A" wp14:editId="03296CC4">
            <wp:extent cx="1543050" cy="1423359"/>
            <wp:effectExtent l="0" t="0" r="0" b="5715"/>
            <wp:docPr id="2" name="Picture 2" descr="https://s3-eu-west-1.amazonaws.com/logs.omnibuilder/undefined/a916765c-11ad-4d2a-ba13-ca43ddee4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logs.omnibuilder/undefined/a916765c-11ad-4d2a-ba13-ca43ddee4a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44" cy="14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E348" w14:textId="77777777" w:rsidR="00F327EC" w:rsidRPr="00F327EC" w:rsidRDefault="00F327EC" w:rsidP="00F327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7EC">
        <w:rPr>
          <w:rFonts w:ascii="Arial" w:hAnsi="Arial" w:cs="Arial"/>
          <w:b/>
          <w:sz w:val="28"/>
          <w:szCs w:val="28"/>
          <w:u w:val="single"/>
        </w:rPr>
        <w:t>Rainbow Pre-School and Extended Services</w:t>
      </w:r>
    </w:p>
    <w:p w14:paraId="0BD90532" w14:textId="77777777" w:rsidR="00F327EC" w:rsidRPr="00F327EC" w:rsidRDefault="00234656" w:rsidP="00F327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Medication </w:t>
      </w:r>
      <w:r w:rsidR="00A706AB">
        <w:rPr>
          <w:rFonts w:ascii="Arial" w:hAnsi="Arial" w:cs="Arial"/>
          <w:b/>
          <w:sz w:val="28"/>
          <w:szCs w:val="28"/>
          <w:u w:val="single"/>
        </w:rPr>
        <w:t>Policy</w:t>
      </w:r>
    </w:p>
    <w:p w14:paraId="1FA8FFF2" w14:textId="77777777" w:rsidR="00234656" w:rsidRDefault="00234656" w:rsidP="00F327EC">
      <w:pPr>
        <w:rPr>
          <w:rFonts w:ascii="Arial" w:hAnsi="Arial" w:cs="Arial"/>
          <w:b/>
        </w:rPr>
      </w:pPr>
    </w:p>
    <w:p w14:paraId="316FA3E8" w14:textId="77777777" w:rsidR="00F327EC" w:rsidRDefault="00C32E15" w:rsidP="00F327EC">
      <w:pPr>
        <w:rPr>
          <w:rFonts w:ascii="Arial" w:hAnsi="Arial" w:cs="Arial"/>
          <w:b/>
        </w:rPr>
      </w:pPr>
      <w:r w:rsidRPr="003C1F8D">
        <w:rPr>
          <w:rFonts w:ascii="Arial" w:hAnsi="Arial" w:cs="Arial"/>
          <w:b/>
        </w:rPr>
        <w:t>Policy Statement</w:t>
      </w:r>
    </w:p>
    <w:p w14:paraId="22EFCF94" w14:textId="77777777" w:rsidR="00234656" w:rsidRDefault="00234656" w:rsidP="00F327EC">
      <w:pPr>
        <w:rPr>
          <w:rFonts w:ascii="Arial" w:hAnsi="Arial" w:cs="Arial"/>
        </w:rPr>
      </w:pPr>
      <w:r w:rsidRPr="00234656">
        <w:rPr>
          <w:rFonts w:ascii="Arial" w:hAnsi="Arial" w:cs="Arial"/>
        </w:rPr>
        <w:t>Rainbow Pre-school &amp; Extended Services is committed to supporting children who requ</w:t>
      </w:r>
      <w:r>
        <w:rPr>
          <w:rFonts w:ascii="Arial" w:hAnsi="Arial" w:cs="Arial"/>
        </w:rPr>
        <w:t>ire medication in a safe manner which protects their wellbeing.</w:t>
      </w:r>
    </w:p>
    <w:p w14:paraId="64FB2180" w14:textId="77777777" w:rsidR="00234656" w:rsidRDefault="00234656" w:rsidP="00F327EC">
      <w:pPr>
        <w:rPr>
          <w:rFonts w:ascii="Arial" w:hAnsi="Arial" w:cs="Arial"/>
          <w:b/>
        </w:rPr>
      </w:pPr>
      <w:r w:rsidRPr="00234656">
        <w:rPr>
          <w:rFonts w:ascii="Arial" w:hAnsi="Arial" w:cs="Arial"/>
          <w:b/>
        </w:rPr>
        <w:t>EYFS themes and commitments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1"/>
        <w:gridCol w:w="2331"/>
        <w:gridCol w:w="2331"/>
      </w:tblGrid>
      <w:tr w:rsidR="00234656" w:rsidRPr="00234656" w14:paraId="4B837CD8" w14:textId="77777777" w:rsidTr="00D4276A">
        <w:tc>
          <w:tcPr>
            <w:tcW w:w="1250" w:type="pct"/>
            <w:shd w:val="clear" w:color="auto" w:fill="00ACB6"/>
          </w:tcPr>
          <w:p w14:paraId="1141294F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0BDA6E34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55C284B3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2269AFA1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Learning and Development</w:t>
            </w:r>
          </w:p>
        </w:tc>
      </w:tr>
      <w:tr w:rsidR="00234656" w:rsidRPr="00234656" w14:paraId="054EF379" w14:textId="77777777" w:rsidTr="00D4276A">
        <w:tc>
          <w:tcPr>
            <w:tcW w:w="1250" w:type="pct"/>
            <w:shd w:val="clear" w:color="auto" w:fill="00ACB6"/>
          </w:tcPr>
          <w:p w14:paraId="0E593DA4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60" w:hanging="360"/>
              <w:textAlignment w:val="baseline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1.3 Keeping safe</w:t>
            </w:r>
          </w:p>
        </w:tc>
        <w:tc>
          <w:tcPr>
            <w:tcW w:w="1250" w:type="pct"/>
            <w:shd w:val="clear" w:color="auto" w:fill="A64D8A"/>
          </w:tcPr>
          <w:p w14:paraId="109E87E2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60" w:hanging="360"/>
              <w:textAlignment w:val="baseline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2.1 Respecting each other</w:t>
            </w:r>
          </w:p>
          <w:p w14:paraId="2CCFB1A2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60" w:hanging="360"/>
              <w:textAlignment w:val="baseline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2.2 Parents as partners</w:t>
            </w:r>
          </w:p>
        </w:tc>
        <w:tc>
          <w:tcPr>
            <w:tcW w:w="1250" w:type="pct"/>
            <w:shd w:val="clear" w:color="auto" w:fill="80B71B"/>
          </w:tcPr>
          <w:p w14:paraId="36DE6719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60" w:hanging="360"/>
              <w:textAlignment w:val="baseline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346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0D25FC5B" w14:textId="77777777" w:rsidR="00234656" w:rsidRPr="00234656" w:rsidRDefault="00234656" w:rsidP="00234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60" w:hanging="360"/>
              <w:textAlignment w:val="baseline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4.4 Physical Development</w:t>
            </w:r>
          </w:p>
        </w:tc>
      </w:tr>
    </w:tbl>
    <w:p w14:paraId="40DF1637" w14:textId="77777777" w:rsidR="00234656" w:rsidRPr="00234656" w:rsidRDefault="00234656" w:rsidP="00F327EC">
      <w:pPr>
        <w:rPr>
          <w:rFonts w:ascii="Arial" w:hAnsi="Arial" w:cs="Arial"/>
          <w:b/>
        </w:rPr>
      </w:pPr>
    </w:p>
    <w:p w14:paraId="49640ABB" w14:textId="77777777" w:rsidR="00234656" w:rsidRDefault="00234656" w:rsidP="00F327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</w:t>
      </w:r>
    </w:p>
    <w:p w14:paraId="1DFC7E1B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Medical information is obtained from parents upon their child’s entry to the setting via the registration form.</w:t>
      </w:r>
    </w:p>
    <w:p w14:paraId="7A7E80EF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Parents are requested to inform the setting of any changes with their child’s medical details.</w:t>
      </w:r>
    </w:p>
    <w:p w14:paraId="4E151A88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Prescriptions provided by a registered General/Medical Practitioner may be administered to children.</w:t>
      </w:r>
    </w:p>
    <w:p w14:paraId="2A9C7695" w14:textId="6F92AE21" w:rsidR="00515A69" w:rsidRDefault="00515A69" w:rsidP="00515A69">
      <w:pPr>
        <w:rPr>
          <w:rFonts w:ascii="Arial" w:hAnsi="Arial" w:cs="Arial"/>
        </w:rPr>
      </w:pPr>
      <w:r w:rsidRPr="00234656">
        <w:rPr>
          <w:rFonts w:ascii="Arial" w:hAnsi="Arial" w:cs="Arial"/>
        </w:rPr>
        <w:t>Parents/carers must complete a medication consent form for all/any medication, one for each prescription (a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blanket consent is not acceptable). This completed form must be handed, together with the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drugs/medicines, to a member of staff at the setting</w:t>
      </w:r>
      <w:r>
        <w:rPr>
          <w:rFonts w:ascii="Arial" w:hAnsi="Arial" w:cs="Arial"/>
        </w:rPr>
        <w:t xml:space="preserve"> complete with the prescription label.</w:t>
      </w:r>
    </w:p>
    <w:p w14:paraId="2497B059" w14:textId="6468E656" w:rsidR="00515A69" w:rsidRDefault="003E352C" w:rsidP="00515A69">
      <w:pPr>
        <w:rPr>
          <w:rFonts w:ascii="Arial" w:hAnsi="Arial" w:cs="Arial"/>
        </w:rPr>
      </w:pPr>
      <w:r>
        <w:rPr>
          <w:rFonts w:ascii="Arial" w:hAnsi="Arial" w:cs="Arial"/>
        </w:rPr>
        <w:t>Non pre-scribed c</w:t>
      </w:r>
      <w:r w:rsidR="00515A69" w:rsidRPr="00234656">
        <w:rPr>
          <w:rFonts w:ascii="Arial" w:hAnsi="Arial" w:cs="Arial"/>
        </w:rPr>
        <w:t xml:space="preserve">reams or ointments will be </w:t>
      </w:r>
      <w:r>
        <w:rPr>
          <w:rFonts w:ascii="Arial" w:hAnsi="Arial" w:cs="Arial"/>
        </w:rPr>
        <w:t xml:space="preserve">applied when a parent has completed and signed a </w:t>
      </w:r>
      <w:r w:rsidR="00515A69" w:rsidRPr="00234656">
        <w:rPr>
          <w:rFonts w:ascii="Arial" w:hAnsi="Arial" w:cs="Arial"/>
        </w:rPr>
        <w:t>medical consent</w:t>
      </w:r>
      <w:r w:rsidR="00515A69">
        <w:rPr>
          <w:rFonts w:ascii="Arial" w:hAnsi="Arial" w:cs="Arial"/>
        </w:rPr>
        <w:t xml:space="preserve"> </w:t>
      </w:r>
      <w:r w:rsidR="00515A69" w:rsidRPr="00234656">
        <w:rPr>
          <w:rFonts w:ascii="Arial" w:hAnsi="Arial" w:cs="Arial"/>
        </w:rPr>
        <w:t>form.</w:t>
      </w:r>
    </w:p>
    <w:p w14:paraId="2E6EB2E5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Drugs/medicines will only be administered to the child for whom they are prescribed.</w:t>
      </w:r>
    </w:p>
    <w:p w14:paraId="67D1CD03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All drugs/medicines must be stored strictly in accordance with product instructions as shown on the original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container label. Medication that needs to be refrigerated will be an airtight container and clearly labelled.</w:t>
      </w:r>
    </w:p>
    <w:p w14:paraId="76B2D36A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Parents must inform staff of the last dose of medication (amount and time) when their child arrives at pre-school.</w:t>
      </w:r>
    </w:p>
    <w:p w14:paraId="456575DB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The actual member of staff administering the dose, must have a pre-school manager/deputy present to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witness the administration of medication and both the staff member and manager/deputy must sign the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medical record.</w:t>
      </w:r>
    </w:p>
    <w:p w14:paraId="2C0A794F" w14:textId="77777777" w:rsidR="00BB0A01" w:rsidRDefault="00BB0A01" w:rsidP="00234656">
      <w:pPr>
        <w:rPr>
          <w:rFonts w:ascii="Arial" w:hAnsi="Arial" w:cs="Arial"/>
        </w:rPr>
      </w:pPr>
    </w:p>
    <w:p w14:paraId="3351961C" w14:textId="77777777" w:rsidR="00BB0A01" w:rsidRDefault="00BB0A01" w:rsidP="00234656">
      <w:pPr>
        <w:rPr>
          <w:rFonts w:ascii="Arial" w:hAnsi="Arial" w:cs="Arial"/>
        </w:rPr>
      </w:pPr>
    </w:p>
    <w:p w14:paraId="65556EFB" w14:textId="77777777" w:rsidR="00BB0A01" w:rsidRDefault="00BB0A01" w:rsidP="00234656">
      <w:pPr>
        <w:rPr>
          <w:rFonts w:ascii="Arial" w:hAnsi="Arial" w:cs="Arial"/>
        </w:rPr>
      </w:pPr>
    </w:p>
    <w:p w14:paraId="60671F35" w14:textId="5BF872B5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A record of drugs given should be made indicating the time, dosage and signed by the person administering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the dose, signed by a witness (manager/deputy), parents/carer sign the record to acknowledge the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administration of the dose at the end of the session/day.</w:t>
      </w:r>
    </w:p>
    <w:p w14:paraId="6E7BA5FA" w14:textId="77777777" w:rsid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If a child is reluctant to take the medicine or is immediately sick following administration, this should be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 xml:space="preserve">noted on the child’s record </w:t>
      </w:r>
      <w:r>
        <w:rPr>
          <w:rFonts w:ascii="Arial" w:hAnsi="Arial" w:cs="Arial"/>
        </w:rPr>
        <w:t>sheet and the parents informed.</w:t>
      </w:r>
    </w:p>
    <w:p w14:paraId="189B66E7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If the administration of prescribed medication requires medical knowledge, individual training will be sought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and provided for staff by a relevant health professional. Ofsted and insurers will be informed.</w:t>
      </w:r>
    </w:p>
    <w:p w14:paraId="1CC7702E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A child needing on going medication will have an individual health plan which will detail what to do in case of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emergency.</w:t>
      </w:r>
    </w:p>
    <w:p w14:paraId="2A275A65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Unwanted / unused medicines or out of date medication will be returned to the parent/carer for disposal/on-going use.</w:t>
      </w:r>
    </w:p>
    <w:p w14:paraId="42C3ABAF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If children are prescribed any medication by a GP that they have NOT been given before, they may only</w:t>
      </w:r>
      <w:r>
        <w:rPr>
          <w:rFonts w:ascii="Arial" w:hAnsi="Arial" w:cs="Arial"/>
        </w:rPr>
        <w:t xml:space="preserve"> </w:t>
      </w:r>
      <w:r w:rsidRPr="00234656">
        <w:rPr>
          <w:rFonts w:ascii="Arial" w:hAnsi="Arial" w:cs="Arial"/>
        </w:rPr>
        <w:t>return to the setting having been given the medicine for 24 hours or longer.</w:t>
      </w:r>
    </w:p>
    <w:p w14:paraId="679E2DFE" w14:textId="77777777" w:rsidR="00234656" w:rsidRP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>Calpol will NOT be administered, unless in the circumstances of our ‘high temperature policy’</w:t>
      </w:r>
      <w:r w:rsidR="005E2BA4">
        <w:rPr>
          <w:rFonts w:ascii="Arial" w:hAnsi="Arial" w:cs="Arial"/>
        </w:rPr>
        <w:t>, or at the discretion of a manager.</w:t>
      </w:r>
    </w:p>
    <w:tbl>
      <w:tblPr>
        <w:tblpPr w:leftFromText="180" w:rightFromText="180" w:vertAnchor="page" w:horzAnchor="margin" w:tblpY="7306"/>
        <w:tblW w:w="5000" w:type="pct"/>
        <w:tblLook w:val="01E0" w:firstRow="1" w:lastRow="1" w:firstColumn="1" w:lastColumn="1" w:noHBand="0" w:noVBand="0"/>
      </w:tblPr>
      <w:tblGrid>
        <w:gridCol w:w="4256"/>
        <w:gridCol w:w="5077"/>
      </w:tblGrid>
      <w:tr w:rsidR="00234656" w:rsidRPr="002D2D50" w14:paraId="366E8BB5" w14:textId="77777777" w:rsidTr="003B7068">
        <w:tc>
          <w:tcPr>
            <w:tcW w:w="2280" w:type="pct"/>
          </w:tcPr>
          <w:p w14:paraId="3A5745D0" w14:textId="77777777" w:rsidR="00234656" w:rsidRPr="002D2D50" w:rsidRDefault="00234656" w:rsidP="003B7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D2D50">
              <w:rPr>
                <w:rFonts w:ascii="Arial" w:hAnsi="Arial" w:cs="Arial"/>
              </w:rPr>
              <w:t xml:space="preserve">his policy was adopted </w:t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720" w:type="pct"/>
            <w:tcBorders>
              <w:bottom w:val="single" w:sz="4" w:space="0" w:color="7030A0"/>
            </w:tcBorders>
            <w:shd w:val="clear" w:color="auto" w:fill="auto"/>
          </w:tcPr>
          <w:p w14:paraId="411DFC8D" w14:textId="77777777" w:rsidR="00234656" w:rsidRPr="002D2D50" w:rsidRDefault="00234656" w:rsidP="003B7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Rainbow Pre-school &amp; Extended Services</w:t>
            </w:r>
          </w:p>
        </w:tc>
      </w:tr>
      <w:tr w:rsidR="00234656" w:rsidRPr="000838EC" w14:paraId="3913B35B" w14:textId="77777777" w:rsidTr="003B7068">
        <w:tc>
          <w:tcPr>
            <w:tcW w:w="2280" w:type="pct"/>
          </w:tcPr>
          <w:p w14:paraId="49F27A77" w14:textId="46F03F6F" w:rsidR="00234656" w:rsidRPr="000838EC" w:rsidRDefault="00BE2F10" w:rsidP="003B706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2720" w:type="pct"/>
            <w:tcBorders>
              <w:top w:val="single" w:sz="4" w:space="0" w:color="7030A0"/>
              <w:bottom w:val="single" w:sz="4" w:space="0" w:color="7030A0"/>
            </w:tcBorders>
          </w:tcPr>
          <w:p w14:paraId="76510DA8" w14:textId="77777777" w:rsidR="00234656" w:rsidRDefault="00234656" w:rsidP="003B706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702B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2012</w:t>
            </w:r>
          </w:p>
          <w:p w14:paraId="613E962A" w14:textId="30FCDEFD" w:rsidR="00BE2F10" w:rsidRPr="000838EC" w:rsidRDefault="00BE2F10" w:rsidP="003B70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34656" w:rsidRPr="000838EC" w14:paraId="3045EF17" w14:textId="77777777" w:rsidTr="003B7068">
        <w:tc>
          <w:tcPr>
            <w:tcW w:w="2280" w:type="pct"/>
          </w:tcPr>
          <w:p w14:paraId="43D48BB1" w14:textId="77777777" w:rsidR="00234656" w:rsidRPr="000838EC" w:rsidRDefault="00234656" w:rsidP="003B7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Pr="000838EC">
              <w:rPr>
                <w:rFonts w:ascii="Arial" w:hAnsi="Arial" w:cs="Arial"/>
              </w:rPr>
              <w:t>reviewed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20" w:type="pct"/>
            <w:tcBorders>
              <w:top w:val="single" w:sz="4" w:space="0" w:color="7030A0"/>
              <w:bottom w:val="single" w:sz="4" w:space="0" w:color="7030A0"/>
            </w:tcBorders>
          </w:tcPr>
          <w:p w14:paraId="600C2973" w14:textId="77777777" w:rsidR="00BE2F10" w:rsidRDefault="00BE2F10" w:rsidP="00BE2F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131B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2013</w:t>
            </w:r>
          </w:p>
          <w:p w14:paraId="4D9F0089" w14:textId="77777777" w:rsidR="00BE2F10" w:rsidRDefault="00BE2F10" w:rsidP="00BE2F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0131B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2014</w:t>
            </w:r>
          </w:p>
          <w:p w14:paraId="67E466DA" w14:textId="77777777" w:rsidR="00BE2F10" w:rsidRDefault="00BE2F10" w:rsidP="00BE2F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131B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2015</w:t>
            </w:r>
          </w:p>
          <w:p w14:paraId="404AA64B" w14:textId="77777777" w:rsidR="00BE2F10" w:rsidRDefault="00BE2F10" w:rsidP="00BE2F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131B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2016</w:t>
            </w:r>
          </w:p>
          <w:p w14:paraId="0ADA50B5" w14:textId="77777777" w:rsidR="00BE2F10" w:rsidRDefault="00BE2F10" w:rsidP="00BE2F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702B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2017</w:t>
            </w:r>
          </w:p>
          <w:p w14:paraId="4D13E6E6" w14:textId="7456F1D6" w:rsidR="00BE2F10" w:rsidRDefault="00BE2F10" w:rsidP="00BE2F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E2F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2018</w:t>
            </w:r>
          </w:p>
          <w:p w14:paraId="111D074B" w14:textId="77777777" w:rsidR="00234656" w:rsidRDefault="003E352C" w:rsidP="003B70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E35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2019</w:t>
            </w:r>
          </w:p>
          <w:p w14:paraId="4BFFD2C7" w14:textId="16AC7150" w:rsidR="004B3544" w:rsidRPr="000838EC" w:rsidRDefault="004B3544" w:rsidP="003B70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4B35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 2020</w:t>
            </w:r>
          </w:p>
        </w:tc>
      </w:tr>
      <w:tr w:rsidR="00234656" w:rsidRPr="000838EC" w14:paraId="2FD62735" w14:textId="77777777" w:rsidTr="003B7068">
        <w:tc>
          <w:tcPr>
            <w:tcW w:w="2280" w:type="pct"/>
          </w:tcPr>
          <w:p w14:paraId="05F2142F" w14:textId="77777777" w:rsidR="00234656" w:rsidRPr="000838EC" w:rsidRDefault="00234656" w:rsidP="003B7068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</w:rPr>
              <w:t xml:space="preserve">Signed on behalf of the </w:t>
            </w: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720" w:type="pct"/>
            <w:tcBorders>
              <w:bottom w:val="single" w:sz="4" w:space="0" w:color="7030A0"/>
            </w:tcBorders>
          </w:tcPr>
          <w:p w14:paraId="32FD05D9" w14:textId="700507DF" w:rsidR="00234656" w:rsidRPr="000838EC" w:rsidRDefault="00BE2F10" w:rsidP="003B7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A Sharp</w:t>
            </w:r>
          </w:p>
        </w:tc>
      </w:tr>
      <w:tr w:rsidR="00234656" w:rsidRPr="000838EC" w14:paraId="00AF230D" w14:textId="77777777" w:rsidTr="003B7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14:paraId="45AAD9C5" w14:textId="77777777" w:rsidR="00234656" w:rsidRPr="000838EC" w:rsidRDefault="00234656" w:rsidP="003B7068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</w:rPr>
              <w:t>Name of signatory</w:t>
            </w:r>
          </w:p>
        </w:tc>
        <w:tc>
          <w:tcPr>
            <w:tcW w:w="2720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6713947" w14:textId="43760767" w:rsidR="00234656" w:rsidRPr="000838EC" w:rsidRDefault="00BE2F10" w:rsidP="003B7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Vickie Sharp</w:t>
            </w:r>
          </w:p>
        </w:tc>
      </w:tr>
      <w:tr w:rsidR="00234656" w:rsidRPr="000838EC" w14:paraId="5EACAA0D" w14:textId="77777777" w:rsidTr="003B7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14:paraId="59E05D6C" w14:textId="77777777" w:rsidR="00234656" w:rsidRPr="000838EC" w:rsidRDefault="00234656" w:rsidP="003B7068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</w:rPr>
              <w:t>Role of signatory (e.g. chair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director</w:t>
            </w:r>
            <w:proofErr w:type="gramEnd"/>
            <w:r>
              <w:rPr>
                <w:rFonts w:ascii="Arial" w:hAnsi="Arial" w:cs="Arial"/>
              </w:rPr>
              <w:t xml:space="preserve"> or </w:t>
            </w:r>
            <w:r w:rsidRPr="000838EC">
              <w:rPr>
                <w:rFonts w:ascii="Arial" w:hAnsi="Arial" w:cs="Arial"/>
              </w:rPr>
              <w:t>owner)</w:t>
            </w:r>
          </w:p>
        </w:tc>
        <w:tc>
          <w:tcPr>
            <w:tcW w:w="2720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F6CDED1" w14:textId="77777777" w:rsidR="00234656" w:rsidRPr="000838EC" w:rsidRDefault="00234656" w:rsidP="003B70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04A26B" w14:textId="27596F33" w:rsidR="00234656" w:rsidRDefault="00234656" w:rsidP="00234656">
      <w:pPr>
        <w:rPr>
          <w:rFonts w:ascii="Arial" w:hAnsi="Arial" w:cs="Arial"/>
        </w:rPr>
      </w:pPr>
      <w:r w:rsidRPr="00234656">
        <w:rPr>
          <w:rFonts w:ascii="Arial" w:hAnsi="Arial" w:cs="Arial"/>
        </w:rPr>
        <w:t xml:space="preserve">Whilst a child can still be admitted into the setting having been given one dose of </w:t>
      </w:r>
      <w:proofErr w:type="spellStart"/>
      <w:r w:rsidRPr="00234656">
        <w:rPr>
          <w:rFonts w:ascii="Arial" w:hAnsi="Arial" w:cs="Arial"/>
        </w:rPr>
        <w:t>calpol</w:t>
      </w:r>
      <w:proofErr w:type="spellEnd"/>
      <w:r w:rsidRPr="00234656">
        <w:rPr>
          <w:rFonts w:ascii="Arial" w:hAnsi="Arial" w:cs="Arial"/>
        </w:rPr>
        <w:t xml:space="preserve"> at </w:t>
      </w:r>
      <w:r w:rsidR="003B7068" w:rsidRPr="003B7068">
        <w:rPr>
          <w:rFonts w:ascii="Arial" w:hAnsi="Arial" w:cs="Arial"/>
        </w:rPr>
        <w:t xml:space="preserve">home before a session, children will NOT be admitted if they have been given two or more doses of </w:t>
      </w:r>
      <w:r w:rsidR="005E2BA4">
        <w:rPr>
          <w:rFonts w:ascii="Arial" w:hAnsi="Arial" w:cs="Arial"/>
        </w:rPr>
        <w:t>C</w:t>
      </w:r>
      <w:r w:rsidR="003B7068" w:rsidRPr="003B7068">
        <w:rPr>
          <w:rFonts w:ascii="Arial" w:hAnsi="Arial" w:cs="Arial"/>
        </w:rPr>
        <w:t>alpol within a 12 hour period.</w:t>
      </w:r>
    </w:p>
    <w:p w14:paraId="2D0BCEF8" w14:textId="77777777" w:rsidR="003E352C" w:rsidRPr="00234656" w:rsidRDefault="003E352C" w:rsidP="00234656">
      <w:pPr>
        <w:rPr>
          <w:rFonts w:ascii="Arial" w:hAnsi="Arial" w:cs="Arial"/>
        </w:rPr>
      </w:pPr>
    </w:p>
    <w:p w14:paraId="49D7B9B6" w14:textId="77777777" w:rsidR="00234656" w:rsidRPr="003C1F8D" w:rsidRDefault="00234656" w:rsidP="00F327EC">
      <w:pPr>
        <w:rPr>
          <w:rFonts w:ascii="Arial" w:hAnsi="Arial" w:cs="Arial"/>
          <w:b/>
        </w:rPr>
      </w:pPr>
    </w:p>
    <w:p w14:paraId="73FC68F6" w14:textId="77777777" w:rsidR="00AD70A9" w:rsidRDefault="00AD70A9" w:rsidP="00AD70A9">
      <w:pPr>
        <w:widowControl w:val="0"/>
        <w:numPr>
          <w:ilvl w:val="12"/>
          <w:numId w:val="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5538A26" w14:textId="77777777" w:rsidR="00752B30" w:rsidRPr="00E90626" w:rsidRDefault="00752B30" w:rsidP="00E9062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E7931E" w14:textId="77777777" w:rsidR="0004410F" w:rsidRPr="00310AC6" w:rsidRDefault="0004410F" w:rsidP="009B5AF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F03D265" w14:textId="77777777" w:rsidR="00B46269" w:rsidRPr="00310AC6" w:rsidRDefault="00B46269" w:rsidP="00F327EC">
      <w:pPr>
        <w:rPr>
          <w:rFonts w:ascii="Arial" w:hAnsi="Arial" w:cs="Arial"/>
          <w:b/>
        </w:rPr>
      </w:pPr>
    </w:p>
    <w:p w14:paraId="40AB4721" w14:textId="77777777" w:rsidR="00310AC6" w:rsidRDefault="00310AC6" w:rsidP="00752B3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5D4A00C" w14:textId="77777777" w:rsidR="00310AC6" w:rsidRPr="00310AC6" w:rsidRDefault="00310AC6" w:rsidP="00310A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90CA4C8" w14:textId="77777777" w:rsidR="00E90626" w:rsidRDefault="00E90626" w:rsidP="00F327EC">
      <w:pPr>
        <w:rPr>
          <w:rFonts w:ascii="Arial" w:hAnsi="Arial" w:cs="Arial"/>
          <w:b/>
          <w:sz w:val="20"/>
          <w:szCs w:val="20"/>
        </w:rPr>
      </w:pPr>
    </w:p>
    <w:p w14:paraId="051A5DE2" w14:textId="77777777" w:rsidR="00310AC6" w:rsidRPr="009B5AF0" w:rsidRDefault="00310AC6" w:rsidP="00F327EC">
      <w:pPr>
        <w:rPr>
          <w:rFonts w:ascii="Arial" w:hAnsi="Arial" w:cs="Arial"/>
          <w:b/>
          <w:sz w:val="20"/>
          <w:szCs w:val="20"/>
        </w:rPr>
      </w:pPr>
    </w:p>
    <w:p w14:paraId="5F9056AE" w14:textId="77777777" w:rsidR="00383E93" w:rsidRDefault="00383E93" w:rsidP="00F327EC">
      <w:pPr>
        <w:rPr>
          <w:rFonts w:ascii="Arial" w:hAnsi="Arial" w:cs="Arial"/>
        </w:rPr>
      </w:pPr>
    </w:p>
    <w:sectPr w:rsidR="00383E93" w:rsidSect="00AD70A9">
      <w:footerReference w:type="default" r:id="rId9"/>
      <w:pgSz w:w="11906" w:h="16838"/>
      <w:pgMar w:top="142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D23FB" w14:textId="77777777" w:rsidR="00F327EC" w:rsidRDefault="00F327EC" w:rsidP="00F327EC">
      <w:pPr>
        <w:spacing w:after="0" w:line="240" w:lineRule="auto"/>
      </w:pPr>
      <w:r>
        <w:separator/>
      </w:r>
    </w:p>
  </w:endnote>
  <w:endnote w:type="continuationSeparator" w:id="0">
    <w:p w14:paraId="7EFB2C80" w14:textId="77777777" w:rsidR="00F327EC" w:rsidRDefault="00F327EC" w:rsidP="00F3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91AA" w14:textId="77777777" w:rsidR="00F327EC" w:rsidRDefault="00F3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55F2" w14:textId="77777777" w:rsidR="00F327EC" w:rsidRDefault="00F327EC" w:rsidP="00F327EC">
      <w:pPr>
        <w:spacing w:after="0" w:line="240" w:lineRule="auto"/>
      </w:pPr>
      <w:r>
        <w:separator/>
      </w:r>
    </w:p>
  </w:footnote>
  <w:footnote w:type="continuationSeparator" w:id="0">
    <w:p w14:paraId="4856FFE3" w14:textId="77777777" w:rsidR="00F327EC" w:rsidRDefault="00F327EC" w:rsidP="00F3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D47828"/>
    <w:lvl w:ilvl="0">
      <w:numFmt w:val="bullet"/>
      <w:lvlText w:val="*"/>
      <w:lvlJc w:val="left"/>
    </w:lvl>
  </w:abstractNum>
  <w:abstractNum w:abstractNumId="1" w15:restartNumberingAfterBreak="0">
    <w:nsid w:val="00DE64E8"/>
    <w:multiLevelType w:val="multilevel"/>
    <w:tmpl w:val="A6A0B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D5C9F"/>
    <w:multiLevelType w:val="hybridMultilevel"/>
    <w:tmpl w:val="208C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949"/>
    <w:multiLevelType w:val="multilevel"/>
    <w:tmpl w:val="DE8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0B1B4140"/>
    <w:multiLevelType w:val="hybridMultilevel"/>
    <w:tmpl w:val="004A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C1C1D"/>
    <w:multiLevelType w:val="hybridMultilevel"/>
    <w:tmpl w:val="765E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026BD"/>
    <w:multiLevelType w:val="hybridMultilevel"/>
    <w:tmpl w:val="949A786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C6552"/>
    <w:multiLevelType w:val="hybridMultilevel"/>
    <w:tmpl w:val="008A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55592"/>
    <w:multiLevelType w:val="hybridMultilevel"/>
    <w:tmpl w:val="393C056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C2F5D"/>
    <w:multiLevelType w:val="hybridMultilevel"/>
    <w:tmpl w:val="2F183A4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CF941A90"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F2203A5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C3B35"/>
    <w:multiLevelType w:val="hybridMultilevel"/>
    <w:tmpl w:val="569E65B2"/>
    <w:lvl w:ilvl="0" w:tplc="71460694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2137CE"/>
    <w:multiLevelType w:val="multilevel"/>
    <w:tmpl w:val="053C4C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 w15:restartNumberingAfterBreak="0">
    <w:nsid w:val="1EF5436D"/>
    <w:multiLevelType w:val="multilevel"/>
    <w:tmpl w:val="7AA8E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 w15:restartNumberingAfterBreak="0">
    <w:nsid w:val="20AC2D82"/>
    <w:multiLevelType w:val="multilevel"/>
    <w:tmpl w:val="2586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21BA0FC9"/>
    <w:multiLevelType w:val="multilevel"/>
    <w:tmpl w:val="709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 w15:restartNumberingAfterBreak="0">
    <w:nsid w:val="225D0042"/>
    <w:multiLevelType w:val="hybridMultilevel"/>
    <w:tmpl w:val="E68C3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200E9"/>
    <w:multiLevelType w:val="hybridMultilevel"/>
    <w:tmpl w:val="FC68C300"/>
    <w:lvl w:ilvl="0" w:tplc="7146069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83B43"/>
    <w:multiLevelType w:val="multilevel"/>
    <w:tmpl w:val="4FF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 w15:restartNumberingAfterBreak="0">
    <w:nsid w:val="29B96AB4"/>
    <w:multiLevelType w:val="hybridMultilevel"/>
    <w:tmpl w:val="966EA06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C6765A"/>
    <w:multiLevelType w:val="hybridMultilevel"/>
    <w:tmpl w:val="585C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71282"/>
    <w:multiLevelType w:val="multilevel"/>
    <w:tmpl w:val="97D06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54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90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4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340" w:hanging="180"/>
      </w:pPr>
      <w:rPr>
        <w:rFonts w:cs="Times New Roman"/>
      </w:rPr>
    </w:lvl>
  </w:abstractNum>
  <w:abstractNum w:abstractNumId="21" w15:restartNumberingAfterBreak="0">
    <w:nsid w:val="355D6CD3"/>
    <w:multiLevelType w:val="hybridMultilevel"/>
    <w:tmpl w:val="3AC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21BA6"/>
    <w:multiLevelType w:val="multilevel"/>
    <w:tmpl w:val="D050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3" w15:restartNumberingAfterBreak="0">
    <w:nsid w:val="3B266E1C"/>
    <w:multiLevelType w:val="hybridMultilevel"/>
    <w:tmpl w:val="BCFA3B96"/>
    <w:lvl w:ilvl="0" w:tplc="7146069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07958"/>
    <w:multiLevelType w:val="hybridMultilevel"/>
    <w:tmpl w:val="D836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64D8F"/>
    <w:multiLevelType w:val="hybridMultilevel"/>
    <w:tmpl w:val="45C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A1B83"/>
    <w:multiLevelType w:val="multilevel"/>
    <w:tmpl w:val="57C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4BF411FE"/>
    <w:multiLevelType w:val="hybridMultilevel"/>
    <w:tmpl w:val="BF4C39A8"/>
    <w:lvl w:ilvl="0" w:tplc="C382D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A64375"/>
    <w:multiLevelType w:val="hybridMultilevel"/>
    <w:tmpl w:val="5E68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136EC"/>
    <w:multiLevelType w:val="multilevel"/>
    <w:tmpl w:val="7AA8E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 w15:restartNumberingAfterBreak="0">
    <w:nsid w:val="592517A6"/>
    <w:multiLevelType w:val="hybridMultilevel"/>
    <w:tmpl w:val="E564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22BC6"/>
    <w:multiLevelType w:val="hybridMultilevel"/>
    <w:tmpl w:val="0D60576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CF941A90"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22F4C"/>
    <w:multiLevelType w:val="multilevel"/>
    <w:tmpl w:val="5C4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3" w15:restartNumberingAfterBreak="0">
    <w:nsid w:val="66897068"/>
    <w:multiLevelType w:val="hybridMultilevel"/>
    <w:tmpl w:val="08E0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46C9C"/>
    <w:multiLevelType w:val="multilevel"/>
    <w:tmpl w:val="C65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5" w15:restartNumberingAfterBreak="0">
    <w:nsid w:val="69C73ADA"/>
    <w:multiLevelType w:val="multilevel"/>
    <w:tmpl w:val="053C4C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6" w15:restartNumberingAfterBreak="0">
    <w:nsid w:val="6A033AD7"/>
    <w:multiLevelType w:val="multilevel"/>
    <w:tmpl w:val="053C4C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6F84763A"/>
    <w:multiLevelType w:val="multilevel"/>
    <w:tmpl w:val="053C4C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8" w15:restartNumberingAfterBreak="0">
    <w:nsid w:val="6FA01CFB"/>
    <w:multiLevelType w:val="hybridMultilevel"/>
    <w:tmpl w:val="FAE01DC6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C4DF1"/>
    <w:multiLevelType w:val="hybridMultilevel"/>
    <w:tmpl w:val="D270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83B74"/>
    <w:multiLevelType w:val="hybridMultilevel"/>
    <w:tmpl w:val="22C0623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F7F01"/>
    <w:multiLevelType w:val="multilevel"/>
    <w:tmpl w:val="2780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42" w15:restartNumberingAfterBreak="0">
    <w:nsid w:val="79434A34"/>
    <w:multiLevelType w:val="multilevel"/>
    <w:tmpl w:val="053C4C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3" w15:restartNumberingAfterBreak="0">
    <w:nsid w:val="79BE5067"/>
    <w:multiLevelType w:val="hybridMultilevel"/>
    <w:tmpl w:val="9980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B16A0"/>
    <w:multiLevelType w:val="hybridMultilevel"/>
    <w:tmpl w:val="54E65CE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5B7226"/>
    <w:multiLevelType w:val="hybridMultilevel"/>
    <w:tmpl w:val="E44CE04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7775F"/>
    <w:multiLevelType w:val="hybridMultilevel"/>
    <w:tmpl w:val="942A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3"/>
  </w:num>
  <w:num w:numId="3">
    <w:abstractNumId w:val="10"/>
  </w:num>
  <w:num w:numId="4">
    <w:abstractNumId w:val="9"/>
  </w:num>
  <w:num w:numId="5">
    <w:abstractNumId w:val="46"/>
  </w:num>
  <w:num w:numId="6">
    <w:abstractNumId w:val="16"/>
  </w:num>
  <w:num w:numId="7">
    <w:abstractNumId w:val="45"/>
  </w:num>
  <w:num w:numId="8">
    <w:abstractNumId w:val="19"/>
  </w:num>
  <w:num w:numId="9">
    <w:abstractNumId w:val="40"/>
  </w:num>
  <w:num w:numId="10">
    <w:abstractNumId w:val="2"/>
  </w:num>
  <w:num w:numId="11">
    <w:abstractNumId w:val="18"/>
  </w:num>
  <w:num w:numId="12">
    <w:abstractNumId w:val="4"/>
  </w:num>
  <w:num w:numId="13">
    <w:abstractNumId w:val="6"/>
  </w:num>
  <w:num w:numId="14">
    <w:abstractNumId w:val="5"/>
  </w:num>
  <w:num w:numId="15">
    <w:abstractNumId w:val="24"/>
  </w:num>
  <w:num w:numId="16">
    <w:abstractNumId w:val="31"/>
  </w:num>
  <w:num w:numId="17">
    <w:abstractNumId w:val="28"/>
  </w:num>
  <w:num w:numId="18">
    <w:abstractNumId w:val="1"/>
  </w:num>
  <w:num w:numId="1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37"/>
  </w:num>
  <w:num w:numId="21">
    <w:abstractNumId w:val="15"/>
  </w:num>
  <w:num w:numId="22">
    <w:abstractNumId w:val="30"/>
  </w:num>
  <w:num w:numId="23">
    <w:abstractNumId w:val="17"/>
  </w:num>
  <w:num w:numId="24">
    <w:abstractNumId w:val="32"/>
  </w:num>
  <w:num w:numId="25">
    <w:abstractNumId w:val="20"/>
  </w:num>
  <w:num w:numId="26">
    <w:abstractNumId w:val="42"/>
  </w:num>
  <w:num w:numId="27">
    <w:abstractNumId w:val="36"/>
  </w:num>
  <w:num w:numId="28">
    <w:abstractNumId w:val="35"/>
  </w:num>
  <w:num w:numId="29">
    <w:abstractNumId w:val="11"/>
  </w:num>
  <w:num w:numId="30">
    <w:abstractNumId w:val="26"/>
  </w:num>
  <w:num w:numId="31">
    <w:abstractNumId w:val="3"/>
  </w:num>
  <w:num w:numId="32">
    <w:abstractNumId w:val="13"/>
  </w:num>
  <w:num w:numId="33">
    <w:abstractNumId w:val="14"/>
  </w:num>
  <w:num w:numId="34">
    <w:abstractNumId w:val="34"/>
  </w:num>
  <w:num w:numId="35">
    <w:abstractNumId w:val="44"/>
  </w:num>
  <w:num w:numId="36">
    <w:abstractNumId w:val="21"/>
  </w:num>
  <w:num w:numId="37">
    <w:abstractNumId w:val="27"/>
  </w:num>
  <w:num w:numId="38">
    <w:abstractNumId w:val="8"/>
  </w:num>
  <w:num w:numId="39">
    <w:abstractNumId w:val="38"/>
  </w:num>
  <w:num w:numId="40">
    <w:abstractNumId w:val="25"/>
  </w:num>
  <w:num w:numId="41">
    <w:abstractNumId w:val="33"/>
  </w:num>
  <w:num w:numId="42">
    <w:abstractNumId w:val="29"/>
  </w:num>
  <w:num w:numId="43">
    <w:abstractNumId w:val="39"/>
  </w:num>
  <w:num w:numId="44">
    <w:abstractNumId w:val="22"/>
  </w:num>
  <w:num w:numId="45">
    <w:abstractNumId w:val="41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EC"/>
    <w:rsid w:val="00011054"/>
    <w:rsid w:val="000131BB"/>
    <w:rsid w:val="00026BB3"/>
    <w:rsid w:val="0004410F"/>
    <w:rsid w:val="001521C9"/>
    <w:rsid w:val="00167A5D"/>
    <w:rsid w:val="00180960"/>
    <w:rsid w:val="001E17C2"/>
    <w:rsid w:val="00234656"/>
    <w:rsid w:val="00272890"/>
    <w:rsid w:val="002C6B44"/>
    <w:rsid w:val="00310AC6"/>
    <w:rsid w:val="00383E93"/>
    <w:rsid w:val="00392EFA"/>
    <w:rsid w:val="003B7068"/>
    <w:rsid w:val="003C1F8D"/>
    <w:rsid w:val="003D7374"/>
    <w:rsid w:val="003E352C"/>
    <w:rsid w:val="003F1871"/>
    <w:rsid w:val="003F66C0"/>
    <w:rsid w:val="00401B58"/>
    <w:rsid w:val="00417C00"/>
    <w:rsid w:val="004B3544"/>
    <w:rsid w:val="00515A69"/>
    <w:rsid w:val="005E2BA4"/>
    <w:rsid w:val="00614007"/>
    <w:rsid w:val="00685284"/>
    <w:rsid w:val="00706FA9"/>
    <w:rsid w:val="00723507"/>
    <w:rsid w:val="00752B30"/>
    <w:rsid w:val="00760585"/>
    <w:rsid w:val="007702BD"/>
    <w:rsid w:val="00770545"/>
    <w:rsid w:val="007D78C8"/>
    <w:rsid w:val="009B5AF0"/>
    <w:rsid w:val="009C2E89"/>
    <w:rsid w:val="00A706AB"/>
    <w:rsid w:val="00A913B3"/>
    <w:rsid w:val="00A95F86"/>
    <w:rsid w:val="00AD70A9"/>
    <w:rsid w:val="00B46269"/>
    <w:rsid w:val="00B55B70"/>
    <w:rsid w:val="00BB0A01"/>
    <w:rsid w:val="00BE2F10"/>
    <w:rsid w:val="00C32E15"/>
    <w:rsid w:val="00D41911"/>
    <w:rsid w:val="00D60B3D"/>
    <w:rsid w:val="00DD78C3"/>
    <w:rsid w:val="00DE416A"/>
    <w:rsid w:val="00E90626"/>
    <w:rsid w:val="00EE47B3"/>
    <w:rsid w:val="00F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B71F"/>
  <w15:chartTrackingRefBased/>
  <w15:docId w15:val="{6F41F9D9-0B11-4C63-8538-8BD4E63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EC"/>
  </w:style>
  <w:style w:type="paragraph" w:styleId="Footer">
    <w:name w:val="footer"/>
    <w:basedOn w:val="Normal"/>
    <w:link w:val="FooterChar"/>
    <w:uiPriority w:val="99"/>
    <w:unhideWhenUsed/>
    <w:rsid w:val="00F3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EC"/>
  </w:style>
  <w:style w:type="paragraph" w:styleId="ListParagraph">
    <w:name w:val="List Paragraph"/>
    <w:basedOn w:val="Normal"/>
    <w:uiPriority w:val="34"/>
    <w:qFormat/>
    <w:rsid w:val="00F3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Sharp</dc:creator>
  <cp:keywords/>
  <dc:description/>
  <cp:lastModifiedBy>Vickie Sharp</cp:lastModifiedBy>
  <cp:revision>2</cp:revision>
  <cp:lastPrinted>2019-12-02T09:08:00Z</cp:lastPrinted>
  <dcterms:created xsi:type="dcterms:W3CDTF">2020-10-01T07:27:00Z</dcterms:created>
  <dcterms:modified xsi:type="dcterms:W3CDTF">2020-10-01T07:27:00Z</dcterms:modified>
</cp:coreProperties>
</file>